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青海省格尔木市园包山东金矿</w:t>
      </w:r>
      <w:bookmarkEnd w:id="0"/>
      <w:r>
        <w:rPr>
          <w:b/>
          <w:sz w:val="40"/>
          <w:szCs w:val="40"/>
        </w:rPr>
        <w:t>勘查简介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工作概况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阿拉善盟蔡特高矿产开发有限责任公司于2009年07月获得了由青海省国土资源厅批准的“青海省格尔木市圆包山东金矿预查”项目的探矿权，勘查许可证号为T63120081102017963，有效期限为2009年07月17日至2010年11月19日，面积27.03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360" w:lineRule="auto"/>
        <w:ind w:firstLine="56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2014年11月普查探矿权到期,依照探矿权管理规定缩减延续后的探矿权面积为6.89km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。2015年12月2日厅勘查处批准了“青海省格尔木市圆包山东金矿普查”项目探矿权范围变更，变更的普查区由10个拐点圈定，探矿权面积为7.91km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工作区位置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657225</wp:posOffset>
            </wp:positionV>
            <wp:extent cx="5752465" cy="4064635"/>
            <wp:effectExtent l="0" t="0" r="8255" b="4445"/>
            <wp:wrapNone/>
            <wp:docPr id="13" name="图片模式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模式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0646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普查区位于青海省格尔木市雪山峰东部的圆包山东一带，行政区划隶属青海省海西蒙古族藏族自治州格尔木市管辖。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bCs/>
          <w:sz w:val="24"/>
        </w:rPr>
      </w:pP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项目工作成果</w:t>
      </w:r>
    </w:p>
    <w:p>
      <w:pPr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/>
          <w:sz w:val="24"/>
        </w:rPr>
        <w:t>地表拣块样最高Cu含量 0.28%，不含Au。具有一定的找矿前景。突出特点表现为集中分布在一个较大的区域内，总体异常曲线较平缓，具多峰值，反映为区域背景场普遍升高，局部有次级异常叠加的特点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圆包山东金矿普查区，地质构造条件复杂，岩浆活动强烈，矿化蚀变普遍，成矿条件有利。通过1：5万水系沉积物测量工作，在勘查区圈定出了本区以铜、金为主的多金属综合异常7个。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四、转让价格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</w:pPr>
      <w:r>
        <w:rPr>
          <w:rFonts w:hint="eastAsia" w:ascii="宋体" w:hAnsi="宋体" w:cs="宋体"/>
          <w:sz w:val="24"/>
        </w:rPr>
        <w:t>青海省格尔木市园包山东金矿矿权转让资金为150万元整。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singleLevel"/>
    <w:tmpl w:val="0248C1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62E0"/>
    <w:rsid w:val="025E3B4D"/>
    <w:rsid w:val="27B962E0"/>
    <w:rsid w:val="3CC61D74"/>
    <w:rsid w:val="42F9228E"/>
    <w:rsid w:val="572518E9"/>
    <w:rsid w:val="5ADE18B7"/>
    <w:rsid w:val="62106361"/>
    <w:rsid w:val="628365EC"/>
    <w:rsid w:val="64A065EF"/>
    <w:rsid w:val="679465E2"/>
    <w:rsid w:val="6CA61C31"/>
    <w:rsid w:val="6D535020"/>
    <w:rsid w:val="7B7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2018-07-24T03:20:00Z</dcterms:created>
  <dc:creator>碧水微澜</dc:creator>
  <cp:lastModifiedBy>碧水微澜</cp:lastModifiedBy>
  <dcterms:modified xsi:type="dcterms:W3CDTF">2018-07-24T03:29:04Z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