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青海省格尔木市中凯沟铜（金）矿</w:t>
      </w:r>
      <w:bookmarkEnd w:id="0"/>
      <w:r>
        <w:rPr>
          <w:b/>
          <w:sz w:val="36"/>
          <w:szCs w:val="36"/>
        </w:rPr>
        <w:t>勘查简介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工作概况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2009年1月20日，北京中恺京蓉经贸有限公司获得了 “青海省格尔木市中恺沟铜（金）矿预查”项目的探矿权，勘查许可证号为T63120090102023366，有效期限2009年01月20日至2011年01月20日，面积29.77km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2015年01月普查探矿权到期,申请延续的探矿权有效期限2015年4月16日至2017年01月20日,探矿权面积为14.85km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，2015年12月2日厅勘查处批准了“青海省格尔木市中凯沟铜（金）矿普查”项目探矿权范围变更,延续的探矿权有效期限2015年4月16日至2017年01月20日,变更的普查区由6个拐点圈定，探矿权面积为15.41km</w:t>
      </w:r>
      <w:r>
        <w:rPr>
          <w:rFonts w:hint="eastAsia" w:ascii="宋体" w:hAnsi="宋体" w:cs="宋体"/>
          <w:sz w:val="24"/>
          <w:vertAlign w:val="superscript"/>
        </w:rPr>
        <w:t>2</w:t>
      </w:r>
      <w:r>
        <w:rPr>
          <w:rFonts w:hint="eastAsia" w:ascii="宋体" w:hAnsi="宋体" w:cs="宋体"/>
          <w:sz w:val="24"/>
        </w:rPr>
        <w:t>。</w:t>
      </w: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工作区位置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680085</wp:posOffset>
            </wp:positionV>
            <wp:extent cx="5722620" cy="3706495"/>
            <wp:effectExtent l="0" t="0" r="7620" b="12065"/>
            <wp:wrapNone/>
            <wp:docPr id="14" name="图片模式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模式14"/>
                    <pic:cNvPicPr/>
                  </pic:nvPicPr>
                  <pic:blipFill>
                    <a:blip r:embed="rId4"/>
                    <a:srcRect t="5560" r="1190" b="11690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7064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 w:val="24"/>
        </w:rPr>
        <w:t>普查区位于青海省格尔木市雪山峰东部的中恺沟一带，行政区划隶属青海省海西蒙古族藏族自治州格尔木市管辖。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bCs/>
          <w:sz w:val="24"/>
        </w:rPr>
      </w:pPr>
    </w:p>
    <w:p>
      <w:pPr>
        <w:widowControl w:val="0"/>
        <w:numPr>
          <w:ilvl w:val="0"/>
          <w:numId w:val="1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left="0" w:firstLine="0"/>
        <w:jc w:val="left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项目工作成果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在测区发现三条孔雀石化密集带，孔雀石呈被膜状、皮壳状分布于层间裂隙或呈浸染状分布于层间石英脉表面。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普查区，地质构造条件复杂，岩浆活动强烈，矿化蚀变较普遍，成矿条件有利。通过1：5万水系沉积物测量工作，在勘查区圈定出了本区以铜、金为主的多金属综合异常5个。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四、转让价格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青海省格尔木市中凯沟铜（金）矿矿权转让资金为150万元整。</w:t>
      </w:r>
    </w:p>
    <w:p>
      <w:pPr>
        <w:widowControl w:val="0"/>
        <w:numPr>
          <w:ilvl w:val="0"/>
          <w:numId w:val="0"/>
        </w:numPr>
        <w:pBdr>
          <w:top w:val="none" w:color="000000" w:sz="0" w:space="1"/>
          <w:left w:val="none" w:color="000000" w:sz="0" w:space="4"/>
          <w:bottom w:val="none" w:color="000000" w:sz="0" w:space="1"/>
          <w:right w:val="none" w:color="000000" w:sz="0" w:space="4"/>
          <w:between w:val="none" w:color="000000" w:sz="0" w:space="0"/>
        </w:pBdr>
        <w:shd w:val="clear"/>
        <w:spacing w:line="480" w:lineRule="auto"/>
        <w:ind w:firstLine="48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962E0"/>
    <w:rsid w:val="025E3B4D"/>
    <w:rsid w:val="27B962E0"/>
    <w:rsid w:val="3CC61D74"/>
    <w:rsid w:val="42F9228E"/>
    <w:rsid w:val="47C03189"/>
    <w:rsid w:val="572518E9"/>
    <w:rsid w:val="5ADE18B7"/>
    <w:rsid w:val="62106361"/>
    <w:rsid w:val="628365EC"/>
    <w:rsid w:val="64A065EF"/>
    <w:rsid w:val="679465E2"/>
    <w:rsid w:val="6CA61C31"/>
    <w:rsid w:val="6D535020"/>
    <w:rsid w:val="7B7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solid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2018-07-24T03:20:00Z</dcterms:created>
  <dc:creator>碧水微澜</dc:creator>
  <cp:lastModifiedBy>碧水微澜</cp:lastModifiedBy>
  <dcterms:modified xsi:type="dcterms:W3CDTF">2018-07-24T03:29:49Z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